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9BF33" w14:textId="77777777" w:rsidR="00B60AD6" w:rsidRPr="00DB0E9B" w:rsidRDefault="00B60AD6" w:rsidP="00B60AD6">
      <w:pPr>
        <w:ind w:right="139"/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14:paraId="2928BCE1" w14:textId="77777777" w:rsidR="00B60AD6" w:rsidRPr="00DB0E9B" w:rsidRDefault="00B60AD6" w:rsidP="00B60AD6">
      <w:pPr>
        <w:ind w:right="139"/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14:paraId="1AE2C3CE" w14:textId="77777777" w:rsidR="00B60AD6" w:rsidRPr="00FA0032" w:rsidRDefault="00B60AD6" w:rsidP="00B60AD6">
      <w:pPr>
        <w:ind w:right="139"/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14:paraId="087E74EE" w14:textId="77777777" w:rsidR="00B60AD6" w:rsidRPr="007755F7" w:rsidRDefault="00B60AD6" w:rsidP="00B60AD6">
      <w:pPr>
        <w:ind w:right="1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587FB0" w14:textId="77777777" w:rsidR="00B60AD6" w:rsidRPr="007755F7" w:rsidRDefault="00B60AD6" w:rsidP="00B60AD6">
      <w:pPr>
        <w:ind w:right="139"/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14:paraId="3C2769BD" w14:textId="77777777" w:rsidR="00B60AD6" w:rsidRPr="003A2C46" w:rsidRDefault="00B60AD6" w:rsidP="00B60AD6">
      <w:pPr>
        <w:ind w:right="139"/>
        <w:jc w:val="both"/>
        <w:rPr>
          <w:sz w:val="16"/>
          <w:szCs w:val="16"/>
        </w:rPr>
      </w:pPr>
    </w:p>
    <w:p w14:paraId="4F105997" w14:textId="77777777" w:rsidR="00B60AD6" w:rsidRPr="0047150C" w:rsidRDefault="00B60AD6" w:rsidP="00B60AD6">
      <w:pPr>
        <w:ind w:right="139"/>
        <w:jc w:val="both"/>
        <w:rPr>
          <w:b/>
          <w:sz w:val="28"/>
          <w:szCs w:val="28"/>
          <w:u w:val="single"/>
        </w:rPr>
      </w:pPr>
      <w:r w:rsidRPr="00B60AD6">
        <w:rPr>
          <w:b/>
          <w:sz w:val="28"/>
          <w:szCs w:val="28"/>
          <w:u w:val="single"/>
        </w:rPr>
        <w:t xml:space="preserve">08 </w:t>
      </w:r>
      <w:r>
        <w:rPr>
          <w:b/>
          <w:sz w:val="28"/>
          <w:szCs w:val="28"/>
          <w:u w:val="single"/>
        </w:rPr>
        <w:t>октября 2019</w:t>
      </w:r>
      <w:r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44</w:t>
      </w:r>
      <w:r w:rsidRPr="0047150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1</w:t>
      </w:r>
    </w:p>
    <w:p w14:paraId="4149DF34" w14:textId="77777777" w:rsidR="00B60AD6" w:rsidRPr="003E0767" w:rsidRDefault="00B60AD6" w:rsidP="00B60AD6">
      <w:pPr>
        <w:ind w:right="139"/>
        <w:jc w:val="both"/>
        <w:rPr>
          <w:b/>
          <w:bCs/>
          <w:sz w:val="16"/>
          <w:szCs w:val="16"/>
        </w:rPr>
      </w:pPr>
    </w:p>
    <w:p w14:paraId="4A04B691" w14:textId="77777777" w:rsidR="00B60AD6" w:rsidRPr="00776FFD" w:rsidRDefault="00B60AD6" w:rsidP="00B60AD6">
      <w:pPr>
        <w:tabs>
          <w:tab w:val="left" w:pos="4680"/>
        </w:tabs>
        <w:ind w:left="-142" w:right="5951" w:firstLine="142"/>
        <w:jc w:val="both"/>
        <w:rPr>
          <w:b/>
          <w:bCs/>
        </w:rPr>
      </w:pPr>
      <w:r w:rsidRPr="00B60AD6">
        <w:rPr>
          <w:b/>
          <w:bCs/>
          <w:iCs/>
        </w:rPr>
        <w:t>Об отказе в согласовании 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14:paraId="31DCA900" w14:textId="77777777" w:rsidR="00B60AD6" w:rsidRPr="003E0767" w:rsidRDefault="00B60AD6" w:rsidP="00B60AD6">
      <w:pPr>
        <w:tabs>
          <w:tab w:val="left" w:pos="4680"/>
        </w:tabs>
        <w:ind w:right="139"/>
        <w:jc w:val="both"/>
        <w:rPr>
          <w:b/>
          <w:sz w:val="16"/>
          <w:szCs w:val="16"/>
        </w:rPr>
      </w:pPr>
    </w:p>
    <w:p w14:paraId="794C340C" w14:textId="77777777" w:rsidR="00B60AD6" w:rsidRPr="00147CFF" w:rsidRDefault="00B60AD6" w:rsidP="00B60AD6">
      <w:pPr>
        <w:pStyle w:val="a3"/>
        <w:ind w:right="139" w:firstLine="700"/>
      </w:pPr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 (с изменениями и дополнениями)</w:t>
      </w:r>
      <w:r>
        <w:t xml:space="preserve">» и на основании обращения префектуры Юго-Западного административного округа города Москвы </w:t>
      </w:r>
      <w:r w:rsidRPr="006B2712">
        <w:t xml:space="preserve">от </w:t>
      </w:r>
      <w:r>
        <w:t>27 сентября</w:t>
      </w:r>
      <w:r w:rsidRPr="006B2712">
        <w:t xml:space="preserve"> </w:t>
      </w:r>
      <w:r>
        <w:t>2019</w:t>
      </w:r>
      <w:r w:rsidRPr="006B2712">
        <w:t xml:space="preserve"> года № 12-0</w:t>
      </w:r>
      <w:r>
        <w:t>8-3281</w:t>
      </w:r>
      <w:r w:rsidRPr="006B2712">
        <w:t>/</w:t>
      </w:r>
      <w:r>
        <w:t>9</w:t>
      </w:r>
      <w:r w:rsidRPr="006B2712">
        <w:t xml:space="preserve">, </w:t>
      </w:r>
      <w:r>
        <w:t>входящий № 01-08-510/19 от 01 октября 2019</w:t>
      </w:r>
      <w:r w:rsidRPr="006B2712">
        <w:t xml:space="preserve"> года, </w:t>
      </w:r>
      <w:r w:rsidRPr="006B2712">
        <w:rPr>
          <w:b/>
        </w:rPr>
        <w:t>Совет</w:t>
      </w:r>
      <w:r w:rsidRPr="002F761A">
        <w:rPr>
          <w:b/>
        </w:rPr>
        <w:t xml:space="preserve"> депутатов </w:t>
      </w:r>
      <w:r>
        <w:rPr>
          <w:b/>
        </w:rPr>
        <w:t xml:space="preserve">муниципального округа Ломоносовский </w:t>
      </w:r>
      <w:r w:rsidRPr="002F761A">
        <w:rPr>
          <w:b/>
        </w:rPr>
        <w:t>решил</w:t>
      </w:r>
      <w:r>
        <w:t>:</w:t>
      </w:r>
    </w:p>
    <w:p w14:paraId="7B75A266" w14:textId="77777777" w:rsidR="00B60AD6" w:rsidRPr="004E3560" w:rsidRDefault="00B60AD6" w:rsidP="00B60AD6">
      <w:pPr>
        <w:ind w:left="-142" w:right="139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B60AD6">
        <w:rPr>
          <w:iCs/>
          <w:sz w:val="28"/>
          <w:szCs w:val="28"/>
        </w:rPr>
        <w:t>Отказать в согласовании проекта</w:t>
      </w:r>
      <w:r>
        <w:rPr>
          <w:sz w:val="28"/>
          <w:szCs w:val="28"/>
        </w:rPr>
        <w:t xml:space="preserve"> </w:t>
      </w:r>
      <w:r w:rsidRPr="004E3560">
        <w:rPr>
          <w:sz w:val="28"/>
          <w:szCs w:val="28"/>
        </w:rPr>
        <w:t>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>
        <w:rPr>
          <w:sz w:val="28"/>
          <w:szCs w:val="28"/>
        </w:rPr>
        <w:t>,</w:t>
      </w:r>
      <w:r w:rsidRPr="004E3560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включения адреса размещения нестационарного торгового объекта</w:t>
      </w:r>
      <w:r w:rsidRPr="004E3560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ЮЗАО в Ломоносовском районе города Москвы (Приложение 1,2)</w:t>
      </w:r>
      <w:r w:rsidRPr="004E3560">
        <w:rPr>
          <w:sz w:val="28"/>
          <w:szCs w:val="28"/>
        </w:rPr>
        <w:t>.</w:t>
      </w:r>
      <w:r w:rsidRPr="004E3560">
        <w:rPr>
          <w:iCs/>
          <w:sz w:val="28"/>
          <w:szCs w:val="28"/>
        </w:rPr>
        <w:t xml:space="preserve"> </w:t>
      </w:r>
    </w:p>
    <w:p w14:paraId="6AE40E93" w14:textId="77777777" w:rsidR="00B60AD6" w:rsidRDefault="00B60AD6" w:rsidP="00B60AD6">
      <w:pPr>
        <w:pStyle w:val="a3"/>
        <w:ind w:right="139"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</w:t>
      </w:r>
      <w:r w:rsidRPr="00626733">
        <w:rPr>
          <w:rFonts w:cs="Arial"/>
        </w:rPr>
        <w:t>рабочих дней после принятия настоящего решения</w:t>
      </w:r>
      <w:r w:rsidRPr="00A17081">
        <w:t>.</w:t>
      </w:r>
    </w:p>
    <w:p w14:paraId="4A10106B" w14:textId="77777777" w:rsidR="00B60AD6" w:rsidRDefault="00B60AD6" w:rsidP="00B60AD6">
      <w:pPr>
        <w:pStyle w:val="a3"/>
        <w:ind w:right="139"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14:paraId="6552ABD1" w14:textId="77777777" w:rsidR="00B60AD6" w:rsidRPr="00A17081" w:rsidRDefault="00B60AD6" w:rsidP="00B60AD6">
      <w:pPr>
        <w:pStyle w:val="a3"/>
        <w:ind w:right="139" w:firstLine="700"/>
      </w:pPr>
      <w:r>
        <w:t>4. Контроль за</w:t>
      </w:r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Нефедовым Г.Ю.</w:t>
      </w:r>
    </w:p>
    <w:p w14:paraId="2F964DB0" w14:textId="77777777" w:rsidR="00B60AD6" w:rsidRPr="00A17081" w:rsidRDefault="00B60AD6" w:rsidP="00B60AD6">
      <w:pPr>
        <w:ind w:right="139"/>
        <w:jc w:val="both"/>
        <w:rPr>
          <w:sz w:val="28"/>
          <w:szCs w:val="28"/>
        </w:rPr>
      </w:pPr>
    </w:p>
    <w:p w14:paraId="342F2DD5" w14:textId="77777777" w:rsidR="00B60AD6" w:rsidRPr="00600EB1" w:rsidRDefault="00B60AD6" w:rsidP="00B60AD6">
      <w:pPr>
        <w:ind w:right="139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Глава муниципального</w:t>
      </w:r>
    </w:p>
    <w:p w14:paraId="10FE1681" w14:textId="77777777" w:rsidR="00B60AD6" w:rsidRPr="00600EB1" w:rsidRDefault="00B60AD6" w:rsidP="00B60AD6">
      <w:pPr>
        <w:ind w:right="139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14:paraId="7EB20955" w14:textId="77777777" w:rsidR="00B60AD6" w:rsidRDefault="00B60AD6" w:rsidP="00B60AD6">
      <w:pPr>
        <w:ind w:right="139"/>
        <w:sectPr w:rsidR="00B60AD6" w:rsidSect="00B60AD6">
          <w:type w:val="continuous"/>
          <w:pgSz w:w="11906" w:h="16838"/>
          <w:pgMar w:top="851" w:right="851" w:bottom="1134" w:left="1276" w:header="709" w:footer="709" w:gutter="0"/>
          <w:cols w:space="708"/>
          <w:docGrid w:linePitch="360"/>
        </w:sectPr>
      </w:pPr>
    </w:p>
    <w:p w14:paraId="0F1D041C" w14:textId="77777777" w:rsidR="00B60AD6" w:rsidRPr="005D7981" w:rsidRDefault="00B60AD6" w:rsidP="00B60AD6">
      <w:pPr>
        <w:ind w:left="142" w:right="139"/>
        <w:contextualSpacing/>
      </w:pPr>
    </w:p>
    <w:p w14:paraId="67334DF5" w14:textId="77777777" w:rsidR="00B60AD6" w:rsidRPr="00370115" w:rsidRDefault="00B60AD6" w:rsidP="00B60AD6">
      <w:pPr>
        <w:ind w:left="5954" w:right="139"/>
        <w:contextualSpacing/>
        <w:jc w:val="both"/>
        <w:rPr>
          <w:sz w:val="16"/>
          <w:szCs w:val="16"/>
        </w:rPr>
      </w:pPr>
    </w:p>
    <w:p w14:paraId="36429B27" w14:textId="77777777" w:rsidR="00B60AD6" w:rsidRDefault="00B60AD6" w:rsidP="007234D9">
      <w:pPr>
        <w:ind w:left="6237" w:right="423"/>
        <w:contextualSpacing/>
        <w:rPr>
          <w:bCs/>
        </w:rPr>
      </w:pPr>
      <w:r>
        <w:rPr>
          <w:bCs/>
        </w:rPr>
        <w:lastRenderedPageBreak/>
        <w:t xml:space="preserve">Приложение 1 </w:t>
      </w:r>
    </w:p>
    <w:p w14:paraId="3446F744" w14:textId="77777777" w:rsidR="00B60AD6" w:rsidRDefault="007234D9" w:rsidP="007234D9">
      <w:pPr>
        <w:ind w:left="6237" w:right="-2"/>
        <w:contextualSpacing/>
        <w:rPr>
          <w:bCs/>
        </w:rPr>
      </w:pPr>
      <w:r>
        <w:rPr>
          <w:bCs/>
        </w:rPr>
        <w:t>к</w:t>
      </w:r>
      <w:r w:rsidR="00B60AD6">
        <w:rPr>
          <w:bCs/>
        </w:rPr>
        <w:t xml:space="preserve"> решению Совета депутатов</w:t>
      </w:r>
      <w:r>
        <w:rPr>
          <w:bCs/>
        </w:rPr>
        <w:t xml:space="preserve"> </w:t>
      </w:r>
    </w:p>
    <w:p w14:paraId="2188CC37" w14:textId="77777777" w:rsidR="007234D9" w:rsidRDefault="007234D9" w:rsidP="007234D9">
      <w:pPr>
        <w:ind w:left="6237" w:right="423"/>
        <w:contextualSpacing/>
        <w:rPr>
          <w:bCs/>
        </w:rPr>
      </w:pPr>
      <w:r>
        <w:rPr>
          <w:bCs/>
        </w:rPr>
        <w:t>муниципального округа Ломоносовский</w:t>
      </w:r>
    </w:p>
    <w:p w14:paraId="180F0BA9" w14:textId="77777777" w:rsidR="007234D9" w:rsidRPr="00B60AD6" w:rsidRDefault="007234D9" w:rsidP="007234D9">
      <w:pPr>
        <w:ind w:left="6237" w:right="423"/>
        <w:contextualSpacing/>
        <w:rPr>
          <w:bCs/>
        </w:rPr>
      </w:pPr>
      <w:r>
        <w:rPr>
          <w:bCs/>
        </w:rPr>
        <w:t>от 08 октября 2019 года № 44/1</w:t>
      </w:r>
    </w:p>
    <w:p w14:paraId="143F1648" w14:textId="77777777" w:rsidR="00B60AD6" w:rsidRDefault="00B60AD6" w:rsidP="00B60AD6">
      <w:pPr>
        <w:ind w:left="-142" w:right="139" w:firstLine="142"/>
        <w:contextualSpacing/>
        <w:jc w:val="center"/>
        <w:rPr>
          <w:b/>
          <w:sz w:val="28"/>
          <w:szCs w:val="28"/>
        </w:rPr>
      </w:pPr>
    </w:p>
    <w:p w14:paraId="5346915C" w14:textId="77777777" w:rsidR="00B60AD6" w:rsidRDefault="00B60AD6" w:rsidP="00B60AD6">
      <w:pPr>
        <w:ind w:left="-142" w:right="139" w:firstLine="142"/>
        <w:contextualSpacing/>
        <w:jc w:val="center"/>
        <w:rPr>
          <w:b/>
          <w:sz w:val="28"/>
          <w:szCs w:val="28"/>
        </w:rPr>
      </w:pPr>
    </w:p>
    <w:p w14:paraId="55436205" w14:textId="77777777" w:rsidR="00B60AD6" w:rsidRPr="00106C97" w:rsidRDefault="00B60AD6" w:rsidP="00B60AD6">
      <w:pPr>
        <w:ind w:left="-142" w:right="139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14:paraId="15142D5D" w14:textId="77777777" w:rsidR="00B60AD6" w:rsidRDefault="00B60AD6" w:rsidP="00B60AD6">
      <w:pPr>
        <w:ind w:right="139"/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756"/>
        <w:gridCol w:w="1366"/>
        <w:gridCol w:w="947"/>
        <w:gridCol w:w="1604"/>
        <w:gridCol w:w="992"/>
        <w:gridCol w:w="992"/>
        <w:gridCol w:w="2118"/>
        <w:gridCol w:w="1426"/>
      </w:tblGrid>
      <w:tr w:rsidR="007234D9" w14:paraId="15DE9E1A" w14:textId="77777777" w:rsidTr="007234D9">
        <w:tc>
          <w:tcPr>
            <w:tcW w:w="756" w:type="dxa"/>
          </w:tcPr>
          <w:p w14:paraId="421D1091" w14:textId="77777777" w:rsidR="00B60AD6" w:rsidRPr="00DA3FEE" w:rsidRDefault="00B60AD6" w:rsidP="00B60AD6">
            <w:pPr>
              <w:ind w:right="13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66" w:type="dxa"/>
          </w:tcPr>
          <w:p w14:paraId="701164F6" w14:textId="77777777" w:rsidR="00B60AD6" w:rsidRPr="00DA3FEE" w:rsidRDefault="00B60AD6" w:rsidP="00B60AD6">
            <w:pPr>
              <w:ind w:right="13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</w:t>
            </w:r>
          </w:p>
        </w:tc>
        <w:tc>
          <w:tcPr>
            <w:tcW w:w="947" w:type="dxa"/>
          </w:tcPr>
          <w:p w14:paraId="665B2CD9" w14:textId="77777777" w:rsidR="00B60AD6" w:rsidRPr="00DA3FEE" w:rsidRDefault="00B60AD6" w:rsidP="00B60AD6">
            <w:pPr>
              <w:ind w:right="139"/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1604" w:type="dxa"/>
          </w:tcPr>
          <w:p w14:paraId="52D467DC" w14:textId="77777777" w:rsidR="00B60AD6" w:rsidRPr="00DA3FEE" w:rsidRDefault="00B60AD6" w:rsidP="00B60AD6">
            <w:pPr>
              <w:ind w:right="139"/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992" w:type="dxa"/>
          </w:tcPr>
          <w:p w14:paraId="39A13365" w14:textId="77777777" w:rsidR="00B60AD6" w:rsidRDefault="00B60AD6" w:rsidP="00B60AD6">
            <w:pPr>
              <w:ind w:right="139"/>
              <w:jc w:val="center"/>
              <w:rPr>
                <w:b/>
                <w:bCs/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  <w:p w14:paraId="783D86AD" w14:textId="77777777" w:rsidR="00B60AD6" w:rsidRPr="00BF4297" w:rsidRDefault="00B60AD6" w:rsidP="00B60AD6">
            <w:pPr>
              <w:ind w:right="139"/>
              <w:jc w:val="center"/>
              <w:rPr>
                <w:b/>
                <w:bCs/>
                <w:sz w:val="28"/>
                <w:szCs w:val="28"/>
              </w:rPr>
            </w:pPr>
            <w:r w:rsidRPr="00BF4297">
              <w:rPr>
                <w:b/>
                <w:bCs/>
                <w:sz w:val="28"/>
                <w:szCs w:val="28"/>
              </w:rPr>
              <w:t>кв.</w:t>
            </w:r>
            <w:r w:rsidR="007234D9">
              <w:rPr>
                <w:b/>
                <w:bCs/>
                <w:sz w:val="28"/>
                <w:szCs w:val="28"/>
              </w:rPr>
              <w:t xml:space="preserve"> </w:t>
            </w:r>
            <w:r w:rsidRPr="00BF4297">
              <w:rPr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14:paraId="6B6484A5" w14:textId="77777777" w:rsidR="00B60AD6" w:rsidRPr="00DA3FEE" w:rsidRDefault="00B60AD6" w:rsidP="00B60AD6">
            <w:pPr>
              <w:ind w:right="139"/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118" w:type="dxa"/>
          </w:tcPr>
          <w:p w14:paraId="0A419A11" w14:textId="77777777" w:rsidR="00B60AD6" w:rsidRDefault="00B60AD6" w:rsidP="00B60AD6">
            <w:pPr>
              <w:ind w:right="13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1426" w:type="dxa"/>
          </w:tcPr>
          <w:p w14:paraId="11C035DA" w14:textId="77777777" w:rsidR="00B60AD6" w:rsidRPr="00DA3FEE" w:rsidRDefault="00B60AD6" w:rsidP="00B60AD6">
            <w:pPr>
              <w:ind w:right="13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</w:tr>
      <w:tr w:rsidR="007234D9" w:rsidRPr="007234D9" w14:paraId="380D96A0" w14:textId="77777777" w:rsidTr="007234D9">
        <w:trPr>
          <w:trHeight w:val="966"/>
        </w:trPr>
        <w:tc>
          <w:tcPr>
            <w:tcW w:w="756" w:type="dxa"/>
          </w:tcPr>
          <w:p w14:paraId="1863FDE0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>1.</w:t>
            </w:r>
          </w:p>
        </w:tc>
        <w:tc>
          <w:tcPr>
            <w:tcW w:w="1366" w:type="dxa"/>
          </w:tcPr>
          <w:p w14:paraId="4F0F3737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>Ломоносовский</w:t>
            </w:r>
          </w:p>
        </w:tc>
        <w:tc>
          <w:tcPr>
            <w:tcW w:w="947" w:type="dxa"/>
          </w:tcPr>
          <w:p w14:paraId="15C625B4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>киоск</w:t>
            </w:r>
          </w:p>
        </w:tc>
        <w:tc>
          <w:tcPr>
            <w:tcW w:w="1604" w:type="dxa"/>
          </w:tcPr>
          <w:p w14:paraId="6DA1335E" w14:textId="77777777" w:rsidR="00B60AD6" w:rsidRPr="007234D9" w:rsidRDefault="00B60AD6" w:rsidP="007234D9">
            <w:pPr>
              <w:ind w:right="139"/>
              <w:jc w:val="center"/>
            </w:pPr>
            <w:r w:rsidRPr="007234D9">
              <w:t>Ул. Марии Ульяновой вл.8</w:t>
            </w:r>
          </w:p>
        </w:tc>
        <w:tc>
          <w:tcPr>
            <w:tcW w:w="992" w:type="dxa"/>
          </w:tcPr>
          <w:p w14:paraId="5C3C9A34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 xml:space="preserve">6 </w:t>
            </w:r>
          </w:p>
        </w:tc>
        <w:tc>
          <w:tcPr>
            <w:tcW w:w="992" w:type="dxa"/>
          </w:tcPr>
          <w:p w14:paraId="1BF49CE0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>мороженое</w:t>
            </w:r>
          </w:p>
        </w:tc>
        <w:tc>
          <w:tcPr>
            <w:tcW w:w="2118" w:type="dxa"/>
          </w:tcPr>
          <w:p w14:paraId="12330B01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 xml:space="preserve">с 1января </w:t>
            </w:r>
          </w:p>
          <w:p w14:paraId="4B39DFBB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>по 31 декабря</w:t>
            </w:r>
          </w:p>
        </w:tc>
        <w:tc>
          <w:tcPr>
            <w:tcW w:w="1426" w:type="dxa"/>
          </w:tcPr>
          <w:p w14:paraId="0648F5E2" w14:textId="77777777" w:rsidR="00B60AD6" w:rsidRPr="007234D9" w:rsidRDefault="00B60AD6" w:rsidP="00B60AD6">
            <w:pPr>
              <w:ind w:right="139"/>
              <w:jc w:val="center"/>
            </w:pPr>
            <w:r w:rsidRPr="007234D9">
              <w:t>Внесение в схему нового адреса</w:t>
            </w:r>
          </w:p>
        </w:tc>
      </w:tr>
    </w:tbl>
    <w:p w14:paraId="7C584273" w14:textId="77777777" w:rsidR="00B60AD6" w:rsidRDefault="00B60AD6" w:rsidP="00B60AD6">
      <w:pPr>
        <w:ind w:right="139"/>
      </w:pPr>
    </w:p>
    <w:p w14:paraId="60FA3D2C" w14:textId="77777777" w:rsidR="00B60AD6" w:rsidRDefault="00B60AD6" w:rsidP="00B60AD6">
      <w:pPr>
        <w:ind w:right="139"/>
      </w:pPr>
    </w:p>
    <w:p w14:paraId="7B09A383" w14:textId="77777777" w:rsidR="00B60AD6" w:rsidRDefault="00B60AD6" w:rsidP="00B60AD6">
      <w:pPr>
        <w:ind w:right="139"/>
      </w:pPr>
    </w:p>
    <w:p w14:paraId="3BD2D353" w14:textId="77777777" w:rsidR="00B60AD6" w:rsidRDefault="00B60AD6" w:rsidP="00B60AD6">
      <w:pPr>
        <w:ind w:right="139"/>
      </w:pPr>
    </w:p>
    <w:p w14:paraId="2201DF03" w14:textId="77777777" w:rsidR="00B60AD6" w:rsidRDefault="00B60AD6" w:rsidP="00B60AD6">
      <w:pPr>
        <w:ind w:right="139"/>
      </w:pPr>
    </w:p>
    <w:p w14:paraId="3CD530FC" w14:textId="77777777" w:rsidR="00335999" w:rsidRDefault="00B60AD6" w:rsidP="00335999">
      <w:pPr>
        <w:ind w:left="6237" w:right="423"/>
        <w:contextualSpacing/>
        <w:rPr>
          <w:bCs/>
        </w:rPr>
      </w:pPr>
      <w:r>
        <w:br w:type="page"/>
      </w:r>
      <w:r w:rsidR="00335999">
        <w:lastRenderedPageBreak/>
        <w:t xml:space="preserve"> </w:t>
      </w:r>
      <w:r w:rsidR="00335999">
        <w:rPr>
          <w:bCs/>
        </w:rPr>
        <w:t xml:space="preserve">Приложение 2 </w:t>
      </w:r>
    </w:p>
    <w:p w14:paraId="59C5048B" w14:textId="77777777" w:rsidR="00335999" w:rsidRDefault="00335999" w:rsidP="00335999">
      <w:pPr>
        <w:ind w:left="6237" w:right="-2"/>
        <w:contextualSpacing/>
        <w:rPr>
          <w:bCs/>
        </w:rPr>
      </w:pPr>
      <w:r>
        <w:rPr>
          <w:bCs/>
        </w:rPr>
        <w:t xml:space="preserve">к решению Совета депутатов </w:t>
      </w:r>
    </w:p>
    <w:p w14:paraId="764C2FE5" w14:textId="77777777" w:rsidR="00335999" w:rsidRDefault="00335999" w:rsidP="00335999">
      <w:pPr>
        <w:ind w:left="6237" w:right="423"/>
        <w:contextualSpacing/>
        <w:rPr>
          <w:bCs/>
        </w:rPr>
      </w:pPr>
      <w:r>
        <w:rPr>
          <w:bCs/>
        </w:rPr>
        <w:t>муниципального округа Ломоносовский</w:t>
      </w:r>
    </w:p>
    <w:p w14:paraId="63D65781" w14:textId="77777777" w:rsidR="00335999" w:rsidRPr="00B60AD6" w:rsidRDefault="00335999" w:rsidP="00335999">
      <w:pPr>
        <w:ind w:left="6237" w:right="423"/>
        <w:contextualSpacing/>
        <w:rPr>
          <w:bCs/>
        </w:rPr>
      </w:pPr>
      <w:r>
        <w:rPr>
          <w:bCs/>
        </w:rPr>
        <w:t>от 08 октября 2019 года № 44/1</w:t>
      </w:r>
    </w:p>
    <w:p w14:paraId="30E7DEAF" w14:textId="77777777" w:rsidR="00B60AD6" w:rsidRDefault="00B60AD6" w:rsidP="00B60AD6">
      <w:pPr>
        <w:ind w:right="139"/>
      </w:pPr>
    </w:p>
    <w:p w14:paraId="4A56ABDA" w14:textId="77777777" w:rsidR="00335999" w:rsidRDefault="00335999" w:rsidP="00335999">
      <w:pPr>
        <w:spacing w:line="300" w:lineRule="atLeast"/>
        <w:ind w:left="5103" w:right="-1"/>
        <w:jc w:val="right"/>
      </w:pPr>
    </w:p>
    <w:p w14:paraId="7A0BA096" w14:textId="77777777" w:rsidR="00335999" w:rsidRDefault="00335999" w:rsidP="00335999">
      <w:pPr>
        <w:spacing w:line="300" w:lineRule="atLeast"/>
        <w:jc w:val="both"/>
        <w:rPr>
          <w:sz w:val="28"/>
          <w:szCs w:val="28"/>
        </w:rPr>
      </w:pPr>
    </w:p>
    <w:p w14:paraId="2B1C84E4" w14:textId="77777777" w:rsidR="00335999" w:rsidRPr="00C91D7C" w:rsidRDefault="00335999" w:rsidP="00335999">
      <w:pPr>
        <w:spacing w:line="300" w:lineRule="atLeast"/>
        <w:jc w:val="center"/>
        <w:rPr>
          <w:b/>
          <w:bCs/>
          <w:sz w:val="28"/>
          <w:szCs w:val="28"/>
        </w:rPr>
      </w:pPr>
      <w:r w:rsidRPr="00C91D7C">
        <w:rPr>
          <w:b/>
          <w:bCs/>
          <w:sz w:val="28"/>
          <w:szCs w:val="28"/>
        </w:rPr>
        <w:t>Мотивированный отказ</w:t>
      </w:r>
    </w:p>
    <w:p w14:paraId="0022F5F9" w14:textId="77777777" w:rsidR="00335999" w:rsidRPr="00C91D7C" w:rsidRDefault="00335999" w:rsidP="00335999">
      <w:pPr>
        <w:spacing w:line="300" w:lineRule="atLeast"/>
        <w:jc w:val="center"/>
        <w:rPr>
          <w:b/>
          <w:bCs/>
          <w:sz w:val="28"/>
          <w:szCs w:val="28"/>
        </w:rPr>
      </w:pPr>
    </w:p>
    <w:p w14:paraId="58430E73" w14:textId="77777777" w:rsidR="00335999" w:rsidRPr="00C91D7C" w:rsidRDefault="00335999" w:rsidP="00335999">
      <w:pPr>
        <w:spacing w:line="300" w:lineRule="atLeast"/>
        <w:ind w:firstLine="708"/>
        <w:jc w:val="both"/>
        <w:rPr>
          <w:sz w:val="28"/>
          <w:szCs w:val="28"/>
        </w:rPr>
      </w:pPr>
      <w:r w:rsidRPr="00DE14B2">
        <w:rPr>
          <w:rFonts w:eastAsia="MS Mincho"/>
          <w:sz w:val="28"/>
          <w:szCs w:val="28"/>
        </w:rPr>
        <w:t>Совет депутатов муниципального округа Ломоносовский отказывает в согласовании проекта изменения схемы</w:t>
      </w:r>
      <w:r w:rsidRPr="00C91D7C">
        <w:rPr>
          <w:sz w:val="28"/>
          <w:szCs w:val="28"/>
        </w:rPr>
        <w:t xml:space="preserve"> размещения нестационарного торгового объекта в представленном виде</w:t>
      </w:r>
      <w:r>
        <w:rPr>
          <w:sz w:val="28"/>
          <w:szCs w:val="28"/>
        </w:rPr>
        <w:t xml:space="preserve">, в связи с </w:t>
      </w:r>
      <w:r w:rsidRPr="00DE14B2">
        <w:rPr>
          <w:rFonts w:eastAsia="MS Mincho"/>
          <w:sz w:val="28"/>
          <w:szCs w:val="28"/>
        </w:rPr>
        <w:t>нарушени</w:t>
      </w:r>
      <w:r>
        <w:rPr>
          <w:rFonts w:eastAsia="MS Mincho"/>
          <w:sz w:val="28"/>
          <w:szCs w:val="28"/>
        </w:rPr>
        <w:t>ем</w:t>
      </w:r>
      <w:r w:rsidRPr="00DE14B2">
        <w:rPr>
          <w:rFonts w:eastAsia="MS Mincho"/>
          <w:sz w:val="28"/>
          <w:szCs w:val="28"/>
        </w:rPr>
        <w:t xml:space="preserve"> интересов жителей муниципального округа Ломоносовский</w:t>
      </w:r>
      <w:r w:rsidRPr="00C91D7C">
        <w:rPr>
          <w:sz w:val="28"/>
          <w:szCs w:val="28"/>
        </w:rPr>
        <w:t>.</w:t>
      </w:r>
    </w:p>
    <w:p w14:paraId="1F8E2613" w14:textId="77777777" w:rsidR="00335999" w:rsidRPr="00C91D7C" w:rsidRDefault="00335999" w:rsidP="00335999">
      <w:pPr>
        <w:spacing w:line="300" w:lineRule="atLeast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Основание:</w:t>
      </w:r>
    </w:p>
    <w:p w14:paraId="2B577607" w14:textId="77777777" w:rsidR="00335999" w:rsidRPr="00C91D7C" w:rsidRDefault="00335999" w:rsidP="00335999">
      <w:pPr>
        <w:spacing w:line="300" w:lineRule="atLeast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- уменьшение площади зеленых насаждений</w:t>
      </w:r>
      <w:r>
        <w:rPr>
          <w:sz w:val="28"/>
          <w:szCs w:val="28"/>
        </w:rPr>
        <w:t>;</w:t>
      </w:r>
    </w:p>
    <w:p w14:paraId="5557BD30" w14:textId="77777777" w:rsidR="00335999" w:rsidRPr="00C91D7C" w:rsidRDefault="00335999" w:rsidP="00335999">
      <w:pPr>
        <w:spacing w:line="300" w:lineRule="atLeast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- не продуманное размещение с точки зрения разгрузочных работ</w:t>
      </w:r>
      <w:r>
        <w:rPr>
          <w:sz w:val="28"/>
          <w:szCs w:val="28"/>
        </w:rPr>
        <w:t>;</w:t>
      </w:r>
    </w:p>
    <w:p w14:paraId="2201C1B1" w14:textId="77777777" w:rsidR="00335999" w:rsidRPr="00C91D7C" w:rsidRDefault="00335999" w:rsidP="00335999">
      <w:pPr>
        <w:spacing w:line="300" w:lineRule="atLeast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- наличие большой заасфальтированной площади перед стационарным торговым объектом (магазин «Пятерочка»)</w:t>
      </w:r>
      <w:r>
        <w:rPr>
          <w:sz w:val="28"/>
          <w:szCs w:val="28"/>
        </w:rPr>
        <w:t>;</w:t>
      </w:r>
    </w:p>
    <w:p w14:paraId="38706251" w14:textId="77777777" w:rsidR="00335999" w:rsidRDefault="00335999" w:rsidP="00335999">
      <w:pPr>
        <w:spacing w:line="300" w:lineRule="atLeast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- несогласованность асфальтовых работ с работами по благоустройству по программ</w:t>
      </w:r>
      <w:r>
        <w:rPr>
          <w:sz w:val="28"/>
          <w:szCs w:val="28"/>
        </w:rPr>
        <w:t>е</w:t>
      </w:r>
      <w:r w:rsidRPr="00C91D7C">
        <w:rPr>
          <w:sz w:val="28"/>
          <w:szCs w:val="28"/>
        </w:rPr>
        <w:t xml:space="preserve"> «От дома к дому», длящимися на улице Марии Ульяновой с 2 июля 2019 года</w:t>
      </w:r>
      <w:r>
        <w:rPr>
          <w:sz w:val="28"/>
          <w:szCs w:val="28"/>
        </w:rPr>
        <w:t xml:space="preserve">; </w:t>
      </w:r>
    </w:p>
    <w:p w14:paraId="4A788E0C" w14:textId="01215268" w:rsidR="00335999" w:rsidRPr="00C91D7C" w:rsidRDefault="00335999" w:rsidP="00335999">
      <w:pPr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предложение сформулировано как внесение в схему размещения </w:t>
      </w:r>
      <w:r w:rsidR="00C11F93">
        <w:rPr>
          <w:sz w:val="28"/>
          <w:szCs w:val="28"/>
        </w:rPr>
        <w:t>нестационарных</w:t>
      </w:r>
      <w:r w:rsidR="009437B0">
        <w:rPr>
          <w:sz w:val="28"/>
          <w:szCs w:val="28"/>
        </w:rPr>
        <w:t xml:space="preserve"> торговых объектов вместо изменения адреса существующего нестационарного торгового о</w:t>
      </w:r>
      <w:r w:rsidR="003B63DA">
        <w:rPr>
          <w:sz w:val="28"/>
          <w:szCs w:val="28"/>
        </w:rPr>
        <w:t>б</w:t>
      </w:r>
      <w:bookmarkStart w:id="0" w:name="_GoBack"/>
      <w:bookmarkEnd w:id="0"/>
      <w:r w:rsidR="009437B0">
        <w:rPr>
          <w:sz w:val="28"/>
          <w:szCs w:val="28"/>
        </w:rPr>
        <w:t>ъекта.</w:t>
      </w:r>
    </w:p>
    <w:p w14:paraId="0DEE4D49" w14:textId="77777777" w:rsidR="00335999" w:rsidRPr="00C91D7C" w:rsidRDefault="00335999" w:rsidP="00335999">
      <w:pPr>
        <w:spacing w:line="300" w:lineRule="atLeast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 </w:t>
      </w:r>
    </w:p>
    <w:p w14:paraId="0A17A4B7" w14:textId="77777777" w:rsidR="00335999" w:rsidRPr="00C91D7C" w:rsidRDefault="00335999" w:rsidP="00335999">
      <w:pPr>
        <w:spacing w:line="300" w:lineRule="atLeast"/>
        <w:ind w:firstLine="708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Рекомендовать Префектуре ЮЗАО направить предложение в Правительство Москвы</w:t>
      </w:r>
      <w:r>
        <w:rPr>
          <w:sz w:val="28"/>
          <w:szCs w:val="28"/>
        </w:rPr>
        <w:t>,</w:t>
      </w:r>
      <w:r w:rsidRPr="00C91D7C">
        <w:rPr>
          <w:sz w:val="28"/>
          <w:szCs w:val="28"/>
        </w:rPr>
        <w:t xml:space="preserve"> Комитет по архитектуре и градостроительству города Москвы</w:t>
      </w:r>
      <w:r>
        <w:rPr>
          <w:sz w:val="28"/>
          <w:szCs w:val="28"/>
        </w:rPr>
        <w:t xml:space="preserve"> и</w:t>
      </w:r>
      <w:r w:rsidRPr="00C91D7C">
        <w:rPr>
          <w:sz w:val="28"/>
          <w:szCs w:val="28"/>
        </w:rPr>
        <w:t xml:space="preserve"> рекомендовать ГБУ Главное архитектурно-планировочное управление Москомархитектуры подготовить </w:t>
      </w:r>
      <w:r>
        <w:rPr>
          <w:sz w:val="28"/>
          <w:szCs w:val="28"/>
        </w:rPr>
        <w:t xml:space="preserve">новый </w:t>
      </w:r>
      <w:r w:rsidRPr="00C91D7C">
        <w:rPr>
          <w:sz w:val="28"/>
          <w:szCs w:val="28"/>
        </w:rPr>
        <w:t>проект изменения схемы размещения нестационарного торгового объекта с учетом замечаний С</w:t>
      </w:r>
      <w:r>
        <w:rPr>
          <w:sz w:val="28"/>
          <w:szCs w:val="28"/>
        </w:rPr>
        <w:t>овета депутатов муниципального округа</w:t>
      </w:r>
      <w:r w:rsidRPr="00C91D7C">
        <w:rPr>
          <w:sz w:val="28"/>
          <w:szCs w:val="28"/>
        </w:rPr>
        <w:t xml:space="preserve"> Ломоносовский.</w:t>
      </w:r>
    </w:p>
    <w:p w14:paraId="4816C6FD" w14:textId="77777777" w:rsidR="00335999" w:rsidRPr="00C91D7C" w:rsidRDefault="00335999" w:rsidP="00335999">
      <w:pPr>
        <w:spacing w:line="300" w:lineRule="atLeast"/>
        <w:jc w:val="both"/>
        <w:rPr>
          <w:sz w:val="28"/>
          <w:szCs w:val="28"/>
        </w:rPr>
      </w:pPr>
      <w:r w:rsidRPr="00C91D7C">
        <w:rPr>
          <w:sz w:val="28"/>
          <w:szCs w:val="28"/>
        </w:rPr>
        <w:t> </w:t>
      </w:r>
    </w:p>
    <w:p w14:paraId="2CDCAED4" w14:textId="77777777" w:rsidR="00335999" w:rsidRDefault="00335999" w:rsidP="00335999"/>
    <w:sectPr w:rsidR="00335999" w:rsidSect="00B60AD6">
      <w:type w:val="continuous"/>
      <w:pgSz w:w="11906" w:h="16838"/>
      <w:pgMar w:top="678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D6"/>
    <w:rsid w:val="00335999"/>
    <w:rsid w:val="003B63DA"/>
    <w:rsid w:val="007234D9"/>
    <w:rsid w:val="009437B0"/>
    <w:rsid w:val="00B60AD6"/>
    <w:rsid w:val="00C1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AE4"/>
  <w15:chartTrackingRefBased/>
  <w15:docId w15:val="{56640555-F566-423B-BA4F-617F59F1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0AD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60AD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B60AD6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B633-A879-4415-A410-E81E9673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2019-10-09T07:44:00Z</dcterms:created>
  <dcterms:modified xsi:type="dcterms:W3CDTF">2019-10-09T13:01:00Z</dcterms:modified>
</cp:coreProperties>
</file>