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B4" w:rsidRDefault="00B751B4" w:rsidP="00B75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B751B4" w:rsidRDefault="00B751B4" w:rsidP="00B751B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внутригородского муниципального образования</w:t>
      </w:r>
    </w:p>
    <w:p w:rsidR="00B751B4" w:rsidRDefault="00B751B4" w:rsidP="00B751B4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ЛОМОНОСОВСКОЕ</w:t>
      </w:r>
    </w:p>
    <w:p w:rsidR="00B751B4" w:rsidRDefault="00B751B4" w:rsidP="00B751B4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в городе Москве</w:t>
      </w:r>
    </w:p>
    <w:p w:rsidR="00B751B4" w:rsidRDefault="00B751B4" w:rsidP="00B751B4">
      <w:pPr>
        <w:jc w:val="center"/>
        <w:rPr>
          <w:b/>
          <w:spacing w:val="-2"/>
          <w:position w:val="-6"/>
          <w:sz w:val="28"/>
          <w:szCs w:val="28"/>
        </w:rPr>
      </w:pPr>
      <w:r>
        <w:rPr>
          <w:b/>
          <w:spacing w:val="-2"/>
          <w:position w:val="-6"/>
          <w:sz w:val="28"/>
          <w:szCs w:val="28"/>
        </w:rPr>
        <w:t>РЕШЕНИЕ</w:t>
      </w:r>
    </w:p>
    <w:p w:rsidR="0038475F" w:rsidRPr="00311B69" w:rsidRDefault="0038475F" w:rsidP="0038475F">
      <w:pPr>
        <w:jc w:val="both"/>
        <w:rPr>
          <w:sz w:val="28"/>
          <w:szCs w:val="28"/>
        </w:rPr>
      </w:pPr>
    </w:p>
    <w:p w:rsidR="0038475F" w:rsidRPr="002610B2" w:rsidRDefault="0038475F" w:rsidP="0038475F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10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38475F" w:rsidRPr="00DB40E6" w:rsidRDefault="0038475F" w:rsidP="0038475F">
      <w:pPr>
        <w:jc w:val="both"/>
        <w:rPr>
          <w:sz w:val="16"/>
          <w:szCs w:val="16"/>
        </w:rPr>
      </w:pPr>
    </w:p>
    <w:p w:rsidR="0007448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 внесении изменений в решение </w:t>
      </w:r>
      <w:proofErr w:type="gramStart"/>
      <w:r w:rsidRPr="002B0821">
        <w:rPr>
          <w:b/>
          <w:sz w:val="24"/>
          <w:szCs w:val="24"/>
        </w:rPr>
        <w:t>муниципального</w:t>
      </w:r>
      <w:proofErr w:type="gramEnd"/>
    </w:p>
    <w:p w:rsidR="003552E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>Собрания внутригородского</w:t>
      </w:r>
      <w:r w:rsidR="003552ED">
        <w:rPr>
          <w:b/>
          <w:sz w:val="24"/>
          <w:szCs w:val="24"/>
        </w:rPr>
        <w:t xml:space="preserve"> </w:t>
      </w:r>
      <w:r w:rsidRPr="002B0821">
        <w:rPr>
          <w:b/>
          <w:sz w:val="24"/>
          <w:szCs w:val="24"/>
        </w:rPr>
        <w:t>муниципального</w:t>
      </w:r>
    </w:p>
    <w:p w:rsidR="003552E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образования </w:t>
      </w:r>
      <w:proofErr w:type="gramStart"/>
      <w:r w:rsidRPr="002B0821">
        <w:rPr>
          <w:b/>
          <w:sz w:val="24"/>
          <w:szCs w:val="24"/>
        </w:rPr>
        <w:t>Ломоносовское</w:t>
      </w:r>
      <w:proofErr w:type="gramEnd"/>
      <w:r w:rsidRPr="002B0821">
        <w:rPr>
          <w:b/>
          <w:sz w:val="24"/>
          <w:szCs w:val="24"/>
        </w:rPr>
        <w:t xml:space="preserve"> в городе Москве</w:t>
      </w:r>
    </w:p>
    <w:p w:rsidR="003552E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>от 08.12.2011г. №02-11-02/12 «Об утверждении</w:t>
      </w:r>
    </w:p>
    <w:p w:rsidR="003552E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>бюджета внутригородского</w:t>
      </w:r>
      <w:r w:rsidR="003552ED">
        <w:rPr>
          <w:b/>
          <w:sz w:val="24"/>
          <w:szCs w:val="24"/>
        </w:rPr>
        <w:t xml:space="preserve"> </w:t>
      </w:r>
      <w:r w:rsidRPr="002B0821">
        <w:rPr>
          <w:b/>
          <w:sz w:val="24"/>
          <w:szCs w:val="24"/>
        </w:rPr>
        <w:t>муниципального</w:t>
      </w:r>
    </w:p>
    <w:p w:rsidR="003552ED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образования </w:t>
      </w:r>
      <w:proofErr w:type="gramStart"/>
      <w:r w:rsidRPr="002B0821">
        <w:rPr>
          <w:b/>
          <w:sz w:val="24"/>
          <w:szCs w:val="24"/>
        </w:rPr>
        <w:t>Ломоносовское</w:t>
      </w:r>
      <w:proofErr w:type="gramEnd"/>
      <w:r w:rsidR="003552ED">
        <w:rPr>
          <w:b/>
          <w:sz w:val="24"/>
          <w:szCs w:val="24"/>
        </w:rPr>
        <w:t xml:space="preserve"> </w:t>
      </w:r>
      <w:r w:rsidRPr="002B0821">
        <w:rPr>
          <w:b/>
          <w:sz w:val="24"/>
          <w:szCs w:val="24"/>
        </w:rPr>
        <w:t>в городе Москве</w:t>
      </w:r>
    </w:p>
    <w:p w:rsidR="0038475F" w:rsidRPr="002B0821" w:rsidRDefault="0038475F" w:rsidP="0038475F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>на 2012 год и плановый период 2013 и 2014 годов».</w:t>
      </w:r>
    </w:p>
    <w:p w:rsidR="005F0478" w:rsidRPr="005C5843" w:rsidRDefault="005F0478" w:rsidP="00F11977">
      <w:pPr>
        <w:pStyle w:val="a4"/>
        <w:tabs>
          <w:tab w:val="left" w:pos="5812"/>
        </w:tabs>
        <w:ind w:firstLine="142"/>
        <w:jc w:val="both"/>
        <w:rPr>
          <w:b w:val="0"/>
          <w:sz w:val="28"/>
          <w:szCs w:val="28"/>
        </w:rPr>
      </w:pPr>
    </w:p>
    <w:p w:rsidR="0038475F" w:rsidRPr="005C5843" w:rsidRDefault="0007448D" w:rsidP="0007448D">
      <w:pPr>
        <w:pStyle w:val="a4"/>
        <w:tabs>
          <w:tab w:val="left" w:pos="5812"/>
        </w:tabs>
        <w:ind w:left="142"/>
        <w:jc w:val="both"/>
        <w:rPr>
          <w:b w:val="0"/>
          <w:sz w:val="28"/>
          <w:szCs w:val="28"/>
        </w:rPr>
      </w:pPr>
      <w:r w:rsidRPr="005C5843">
        <w:rPr>
          <w:b w:val="0"/>
          <w:sz w:val="28"/>
          <w:szCs w:val="28"/>
        </w:rPr>
        <w:t xml:space="preserve">      </w:t>
      </w:r>
      <w:proofErr w:type="gramStart"/>
      <w:r w:rsidR="0038475F" w:rsidRPr="005C5843">
        <w:rPr>
          <w:b w:val="0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06.11.2002 года № 56 «Об организации местного самоуправления в городе Москве», Уставом внутригородского муниципального образования Ломоносовское в городе Москве, Положением о бюджетном процессе во внутригородском муниципальном образовании Ломоносовское в городе Москве,</w:t>
      </w:r>
      <w:r w:rsidR="0038475F" w:rsidRPr="005C5843">
        <w:rPr>
          <w:sz w:val="28"/>
          <w:szCs w:val="28"/>
        </w:rPr>
        <w:t xml:space="preserve"> муниципальное Собрание</w:t>
      </w:r>
      <w:proofErr w:type="gramEnd"/>
      <w:r w:rsidR="0038475F" w:rsidRPr="005C5843">
        <w:rPr>
          <w:sz w:val="28"/>
          <w:szCs w:val="28"/>
        </w:rPr>
        <w:t xml:space="preserve"> решило</w:t>
      </w:r>
      <w:r w:rsidR="0038475F" w:rsidRPr="005C5843">
        <w:rPr>
          <w:b w:val="0"/>
          <w:sz w:val="28"/>
          <w:szCs w:val="28"/>
        </w:rPr>
        <w:t>:</w:t>
      </w:r>
    </w:p>
    <w:p w:rsidR="0038475F" w:rsidRPr="005C5843" w:rsidRDefault="0038475F" w:rsidP="0007448D">
      <w:pPr>
        <w:pStyle w:val="11"/>
        <w:numPr>
          <w:ilvl w:val="0"/>
          <w:numId w:val="1"/>
        </w:numPr>
        <w:tabs>
          <w:tab w:val="left" w:pos="5812"/>
        </w:tabs>
        <w:snapToGrid w:val="0"/>
        <w:ind w:left="142" w:firstLine="0"/>
        <w:jc w:val="both"/>
        <w:rPr>
          <w:sz w:val="28"/>
          <w:szCs w:val="28"/>
        </w:rPr>
      </w:pPr>
      <w:r w:rsidRPr="005C5843">
        <w:rPr>
          <w:sz w:val="28"/>
          <w:szCs w:val="28"/>
        </w:rPr>
        <w:t xml:space="preserve">Разрешить увеличение статьи расходов «иные выплаты персоналу, </w:t>
      </w:r>
      <w:proofErr w:type="gramStart"/>
      <w:r w:rsidRPr="005C5843">
        <w:rPr>
          <w:sz w:val="28"/>
          <w:szCs w:val="28"/>
        </w:rPr>
        <w:t>за</w:t>
      </w:r>
      <w:proofErr w:type="gramEnd"/>
      <w:r w:rsidRPr="005C5843">
        <w:rPr>
          <w:sz w:val="28"/>
          <w:szCs w:val="28"/>
        </w:rPr>
        <w:t xml:space="preserve"> исключением фонда оплаты труда» по кодам бюджетной классификации  КБК 0104 33А 01 12, КБК 0104 33А 01 14 согласно смете расходов для выплаты компенсации на санаторно-курортное лечение вновь принятым сотрудникам. </w:t>
      </w:r>
    </w:p>
    <w:p w:rsidR="0038475F" w:rsidRPr="005C5843" w:rsidRDefault="0038475F" w:rsidP="0007448D">
      <w:pPr>
        <w:pStyle w:val="11"/>
        <w:numPr>
          <w:ilvl w:val="0"/>
          <w:numId w:val="1"/>
        </w:numPr>
        <w:tabs>
          <w:tab w:val="left" w:pos="5812"/>
        </w:tabs>
        <w:snapToGrid w:val="0"/>
        <w:ind w:left="142" w:firstLine="0"/>
        <w:jc w:val="both"/>
        <w:rPr>
          <w:sz w:val="28"/>
          <w:szCs w:val="28"/>
        </w:rPr>
      </w:pPr>
      <w:r w:rsidRPr="005C5843">
        <w:rPr>
          <w:sz w:val="28"/>
          <w:szCs w:val="28"/>
        </w:rPr>
        <w:t>Разрешить перемещение бюджетных ассигнований между кодами бюджетной классификации для оплаты услуг специализированной организации по проведению аукционов для закупки товаров (работ, услуг) для муниципальных нужд.</w:t>
      </w:r>
    </w:p>
    <w:p w:rsidR="0038475F" w:rsidRPr="005C5843" w:rsidRDefault="0038475F" w:rsidP="0007448D">
      <w:pPr>
        <w:pStyle w:val="11"/>
        <w:numPr>
          <w:ilvl w:val="0"/>
          <w:numId w:val="1"/>
        </w:numPr>
        <w:tabs>
          <w:tab w:val="left" w:pos="5812"/>
        </w:tabs>
        <w:snapToGrid w:val="0"/>
        <w:ind w:left="142" w:firstLine="0"/>
        <w:jc w:val="both"/>
        <w:rPr>
          <w:sz w:val="28"/>
          <w:szCs w:val="28"/>
        </w:rPr>
      </w:pPr>
      <w:proofErr w:type="gramStart"/>
      <w:r w:rsidRPr="005C5843">
        <w:rPr>
          <w:sz w:val="28"/>
          <w:szCs w:val="28"/>
        </w:rPr>
        <w:t>Внести изменения в решение муниципального Собрания внутригородского муниципального образования Ломоносовское в городе Москве от 08.12.2011г. №02-11-02/12 «Об утверждении бюджета внутригородского муниципального образования Ломоносовское в городе Москве на 2012 год и плановый период 2013 и 2014 годов» в редакции о</w:t>
      </w:r>
      <w:r w:rsidR="001A4BCC" w:rsidRPr="005C5843">
        <w:rPr>
          <w:sz w:val="28"/>
          <w:szCs w:val="28"/>
        </w:rPr>
        <w:t>т 16</w:t>
      </w:r>
      <w:r w:rsidRPr="005C5843">
        <w:rPr>
          <w:sz w:val="28"/>
          <w:szCs w:val="28"/>
        </w:rPr>
        <w:t xml:space="preserve"> </w:t>
      </w:r>
      <w:r w:rsidR="001A4BCC" w:rsidRPr="005C5843">
        <w:rPr>
          <w:sz w:val="28"/>
          <w:szCs w:val="28"/>
        </w:rPr>
        <w:t>октября 2012 года №02-12-10</w:t>
      </w:r>
      <w:r w:rsidRPr="005C5843">
        <w:rPr>
          <w:sz w:val="28"/>
          <w:szCs w:val="28"/>
        </w:rPr>
        <w:t>/1</w:t>
      </w:r>
      <w:r w:rsidR="001A4BCC" w:rsidRPr="005C5843">
        <w:rPr>
          <w:sz w:val="28"/>
          <w:szCs w:val="28"/>
        </w:rPr>
        <w:t>0</w:t>
      </w:r>
      <w:r w:rsidRPr="005C5843">
        <w:rPr>
          <w:sz w:val="28"/>
          <w:szCs w:val="28"/>
        </w:rPr>
        <w:t xml:space="preserve"> согласно приложению к настоящему решению.</w:t>
      </w:r>
      <w:proofErr w:type="gramEnd"/>
    </w:p>
    <w:p w:rsidR="0038475F" w:rsidRPr="005C5843" w:rsidRDefault="0038475F" w:rsidP="0007448D">
      <w:pPr>
        <w:pStyle w:val="11"/>
        <w:numPr>
          <w:ilvl w:val="0"/>
          <w:numId w:val="1"/>
        </w:numPr>
        <w:tabs>
          <w:tab w:val="left" w:pos="5812"/>
        </w:tabs>
        <w:snapToGrid w:val="0"/>
        <w:ind w:left="142" w:firstLine="0"/>
        <w:jc w:val="both"/>
        <w:rPr>
          <w:sz w:val="28"/>
          <w:szCs w:val="28"/>
        </w:rPr>
      </w:pPr>
      <w:r w:rsidRPr="005C5843">
        <w:rPr>
          <w:sz w:val="28"/>
          <w:szCs w:val="28"/>
        </w:rPr>
        <w:t>Настоящее решение вступает в силу со дня официального опубликования в газете «Ваши соседи».</w:t>
      </w:r>
    </w:p>
    <w:p w:rsidR="0038475F" w:rsidRPr="005C5843" w:rsidRDefault="0038475F" w:rsidP="0007448D">
      <w:pPr>
        <w:pStyle w:val="11"/>
        <w:numPr>
          <w:ilvl w:val="0"/>
          <w:numId w:val="1"/>
        </w:numPr>
        <w:tabs>
          <w:tab w:val="left" w:pos="5812"/>
        </w:tabs>
        <w:snapToGrid w:val="0"/>
        <w:ind w:left="142" w:firstLine="0"/>
        <w:jc w:val="both"/>
        <w:rPr>
          <w:sz w:val="28"/>
          <w:szCs w:val="28"/>
        </w:rPr>
      </w:pPr>
      <w:r w:rsidRPr="005C5843">
        <w:rPr>
          <w:sz w:val="28"/>
          <w:szCs w:val="28"/>
        </w:rPr>
        <w:t xml:space="preserve">Контроль за исполнением настоящего решения возложить на Руководителя внутригородского муниципального образования </w:t>
      </w:r>
      <w:proofErr w:type="gramStart"/>
      <w:r w:rsidRPr="005C5843">
        <w:rPr>
          <w:sz w:val="28"/>
          <w:szCs w:val="28"/>
        </w:rPr>
        <w:t>Ломоносовское</w:t>
      </w:r>
      <w:proofErr w:type="gramEnd"/>
      <w:r w:rsidRPr="005C5843">
        <w:rPr>
          <w:sz w:val="28"/>
          <w:szCs w:val="28"/>
        </w:rPr>
        <w:t xml:space="preserve"> в городе Москве Бабурину И.А.</w:t>
      </w:r>
      <w:r w:rsidR="003552ED" w:rsidRPr="005C5843">
        <w:rPr>
          <w:sz w:val="28"/>
          <w:szCs w:val="28"/>
        </w:rPr>
        <w:t xml:space="preserve"> </w:t>
      </w:r>
    </w:p>
    <w:p w:rsidR="003552ED" w:rsidRPr="003552ED" w:rsidRDefault="003552ED" w:rsidP="003552ED">
      <w:pPr>
        <w:pStyle w:val="11"/>
        <w:tabs>
          <w:tab w:val="left" w:pos="5812"/>
        </w:tabs>
        <w:snapToGrid w:val="0"/>
        <w:ind w:left="142"/>
        <w:jc w:val="both"/>
        <w:rPr>
          <w:sz w:val="24"/>
          <w:szCs w:val="24"/>
        </w:rPr>
      </w:pPr>
    </w:p>
    <w:p w:rsidR="0038475F" w:rsidRDefault="0038475F" w:rsidP="0007448D">
      <w:pPr>
        <w:pStyle w:val="1"/>
        <w:ind w:left="142"/>
      </w:pPr>
      <w:r>
        <w:t xml:space="preserve">Руководитель </w:t>
      </w:r>
      <w:proofErr w:type="gramStart"/>
      <w:r>
        <w:t>внутригородского</w:t>
      </w:r>
      <w:proofErr w:type="gramEnd"/>
    </w:p>
    <w:p w:rsidR="0038475F" w:rsidRDefault="0038475F" w:rsidP="0007448D">
      <w:pPr>
        <w:pStyle w:val="1"/>
        <w:ind w:left="142"/>
      </w:pPr>
      <w:r>
        <w:t>муниципального образования</w:t>
      </w:r>
    </w:p>
    <w:p w:rsidR="00A65071" w:rsidRDefault="006B67EB" w:rsidP="00F1731D">
      <w:pPr>
        <w:pStyle w:val="1"/>
      </w:pPr>
      <w:r>
        <w:t xml:space="preserve"> </w:t>
      </w:r>
      <w:proofErr w:type="gramStart"/>
      <w:r w:rsidR="0038475F">
        <w:t>Ломоносовское</w:t>
      </w:r>
      <w:proofErr w:type="gramEnd"/>
      <w:r w:rsidR="0038475F">
        <w:t xml:space="preserve"> в городе Москве</w:t>
      </w:r>
      <w:r w:rsidR="0038475F">
        <w:tab/>
      </w:r>
      <w:r w:rsidR="0038475F">
        <w:tab/>
      </w:r>
      <w:r w:rsidR="0038475F">
        <w:tab/>
      </w:r>
      <w:r w:rsidR="0038475F">
        <w:tab/>
      </w:r>
      <w:r w:rsidR="0038475F">
        <w:tab/>
        <w:t xml:space="preserve">    И.А. Бабурина</w:t>
      </w:r>
    </w:p>
    <w:p w:rsidR="00B751B4" w:rsidRDefault="00B751B4" w:rsidP="00B751B4"/>
    <w:p w:rsidR="00B751B4" w:rsidRDefault="00B751B4" w:rsidP="00B751B4"/>
    <w:p w:rsidR="00B751B4" w:rsidRDefault="00B751B4" w:rsidP="00B751B4"/>
    <w:p w:rsidR="00B751B4" w:rsidRPr="00D168FB" w:rsidRDefault="00B751B4" w:rsidP="00B751B4">
      <w:pPr>
        <w:ind w:left="4500"/>
      </w:pPr>
      <w:r w:rsidRPr="00D168FB">
        <w:lastRenderedPageBreak/>
        <w:t>Приложение</w:t>
      </w:r>
      <w:r>
        <w:t xml:space="preserve"> 1</w:t>
      </w:r>
    </w:p>
    <w:p w:rsidR="00B751B4" w:rsidRPr="00D168FB" w:rsidRDefault="00B751B4" w:rsidP="00B751B4">
      <w:pPr>
        <w:ind w:left="4500"/>
      </w:pPr>
      <w:r w:rsidRPr="00D168FB">
        <w:t>к решению муниципального Собрания</w:t>
      </w:r>
    </w:p>
    <w:p w:rsidR="00B751B4" w:rsidRPr="00D168FB" w:rsidRDefault="00B751B4" w:rsidP="00B751B4">
      <w:pPr>
        <w:ind w:left="4500"/>
      </w:pPr>
      <w:r w:rsidRPr="00D168FB">
        <w:t>внутригородского муниципального</w:t>
      </w:r>
    </w:p>
    <w:p w:rsidR="00B751B4" w:rsidRPr="00D168FB" w:rsidRDefault="00B751B4" w:rsidP="00B751B4">
      <w:pPr>
        <w:ind w:left="4500"/>
      </w:pPr>
      <w:r w:rsidRPr="00D168FB">
        <w:t xml:space="preserve">образования </w:t>
      </w:r>
      <w:proofErr w:type="gramStart"/>
      <w:r w:rsidRPr="00D168FB">
        <w:t>Ломоносовское</w:t>
      </w:r>
      <w:proofErr w:type="gramEnd"/>
      <w:r w:rsidRPr="00D168FB">
        <w:t xml:space="preserve"> в городе Москве</w:t>
      </w:r>
    </w:p>
    <w:p w:rsidR="00B751B4" w:rsidRPr="00D168FB" w:rsidRDefault="00B751B4" w:rsidP="00B751B4">
      <w:pPr>
        <w:ind w:left="4500"/>
      </w:pPr>
      <w:r w:rsidRPr="00D168FB">
        <w:t>от 16 октября 2012 года №</w:t>
      </w:r>
      <w:r>
        <w:t xml:space="preserve"> 02-12-10</w:t>
      </w:r>
      <w:r w:rsidRPr="00D168FB">
        <w:t>/10</w:t>
      </w:r>
    </w:p>
    <w:p w:rsidR="00B751B4" w:rsidRPr="00215E98" w:rsidRDefault="00B751B4" w:rsidP="00B751B4">
      <w:pPr>
        <w:ind w:left="4500"/>
        <w:rPr>
          <w:sz w:val="16"/>
          <w:szCs w:val="16"/>
        </w:rPr>
      </w:pPr>
    </w:p>
    <w:p w:rsidR="00B751B4" w:rsidRPr="003D322C" w:rsidRDefault="00B751B4" w:rsidP="00B751B4">
      <w:pPr>
        <w:rPr>
          <w:sz w:val="28"/>
          <w:szCs w:val="28"/>
        </w:rPr>
      </w:pPr>
    </w:p>
    <w:p w:rsidR="00B751B4" w:rsidRPr="003D322C" w:rsidRDefault="00B751B4" w:rsidP="00B751B4">
      <w:pPr>
        <w:jc w:val="center"/>
        <w:rPr>
          <w:sz w:val="28"/>
          <w:szCs w:val="28"/>
        </w:rPr>
      </w:pPr>
    </w:p>
    <w:p w:rsidR="00B751B4" w:rsidRPr="003D322C" w:rsidRDefault="00B751B4" w:rsidP="00B751B4">
      <w:pPr>
        <w:jc w:val="right"/>
        <w:rPr>
          <w:sz w:val="28"/>
          <w:szCs w:val="28"/>
        </w:rPr>
      </w:pPr>
      <w:r w:rsidRPr="003D322C">
        <w:rPr>
          <w:sz w:val="28"/>
          <w:szCs w:val="28"/>
        </w:rPr>
        <w:t xml:space="preserve"> (тыс. руб.)</w:t>
      </w:r>
    </w:p>
    <w:tbl>
      <w:tblPr>
        <w:tblW w:w="100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5"/>
        <w:gridCol w:w="1560"/>
        <w:gridCol w:w="1417"/>
        <w:gridCol w:w="1276"/>
        <w:gridCol w:w="1261"/>
      </w:tblGrid>
      <w:tr w:rsidR="00B751B4" w:rsidRPr="003D322C" w:rsidTr="00456072">
        <w:tc>
          <w:tcPr>
            <w:tcW w:w="3261" w:type="dxa"/>
          </w:tcPr>
          <w:p w:rsidR="00B751B4" w:rsidRPr="008335D3" w:rsidRDefault="00B751B4" w:rsidP="00456072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Наименование организации/ номер лицевого счета</w:t>
            </w:r>
          </w:p>
        </w:tc>
        <w:tc>
          <w:tcPr>
            <w:tcW w:w="1275" w:type="dxa"/>
          </w:tcPr>
          <w:p w:rsidR="00B751B4" w:rsidRPr="008335D3" w:rsidRDefault="00B751B4" w:rsidP="00456072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Раздел подраздел</w:t>
            </w:r>
          </w:p>
        </w:tc>
        <w:tc>
          <w:tcPr>
            <w:tcW w:w="1560" w:type="dxa"/>
          </w:tcPr>
          <w:p w:rsidR="00B751B4" w:rsidRPr="008335D3" w:rsidRDefault="00B751B4" w:rsidP="00456072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417" w:type="dxa"/>
          </w:tcPr>
          <w:p w:rsidR="00B751B4" w:rsidRPr="008335D3" w:rsidRDefault="00B751B4" w:rsidP="00456072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276" w:type="dxa"/>
          </w:tcPr>
          <w:p w:rsidR="00B751B4" w:rsidRPr="008335D3" w:rsidRDefault="00B751B4" w:rsidP="00456072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КОСГУ</w:t>
            </w:r>
          </w:p>
        </w:tc>
        <w:tc>
          <w:tcPr>
            <w:tcW w:w="1261" w:type="dxa"/>
          </w:tcPr>
          <w:p w:rsidR="00B751B4" w:rsidRPr="008335D3" w:rsidRDefault="00B751B4" w:rsidP="00456072">
            <w:pPr>
              <w:jc w:val="center"/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Год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B751B4" w:rsidRDefault="00B751B4" w:rsidP="00456072">
            <w:pPr>
              <w:rPr>
                <w:b/>
                <w:sz w:val="24"/>
                <w:szCs w:val="24"/>
              </w:rPr>
            </w:pPr>
            <w:r w:rsidRPr="00B751B4">
              <w:rPr>
                <w:sz w:val="24"/>
                <w:szCs w:val="24"/>
              </w:rPr>
              <w:t xml:space="preserve">Муниципалитет </w:t>
            </w:r>
            <w:proofErr w:type="gramStart"/>
            <w:r w:rsidRPr="00B751B4">
              <w:rPr>
                <w:sz w:val="24"/>
                <w:szCs w:val="24"/>
              </w:rPr>
              <w:t>Ломоносовское</w:t>
            </w:r>
            <w:proofErr w:type="gramEnd"/>
            <w:r w:rsidRPr="00B751B4">
              <w:rPr>
                <w:sz w:val="24"/>
                <w:szCs w:val="24"/>
              </w:rPr>
              <w:t xml:space="preserve"> в городе Москве л/с 0390030574930033</w:t>
            </w:r>
          </w:p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  <w:lang w:val="en-US"/>
              </w:rPr>
            </w:pPr>
            <w:r w:rsidRPr="00B751B4">
              <w:rPr>
                <w:sz w:val="22"/>
                <w:szCs w:val="22"/>
                <w:lang w:val="en-US"/>
              </w:rPr>
              <w:t>0104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  <w:lang w:val="en-US"/>
              </w:rPr>
              <w:t>33</w:t>
            </w:r>
            <w:r w:rsidRPr="00B751B4">
              <w:rPr>
                <w:sz w:val="22"/>
                <w:szCs w:val="22"/>
              </w:rPr>
              <w:t>А 0112</w:t>
            </w:r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212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65,9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402CA7" w:rsidRDefault="00B751B4" w:rsidP="00456072"/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0104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  <w:lang w:val="en-US"/>
              </w:rPr>
            </w:pPr>
            <w:r w:rsidRPr="00B751B4">
              <w:rPr>
                <w:sz w:val="22"/>
                <w:szCs w:val="22"/>
                <w:lang w:val="en-US"/>
              </w:rPr>
              <w:t>33</w:t>
            </w:r>
            <w:r w:rsidRPr="00B751B4">
              <w:rPr>
                <w:sz w:val="22"/>
                <w:szCs w:val="22"/>
              </w:rPr>
              <w:t>А 0112</w:t>
            </w:r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-65,9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402CA7" w:rsidRDefault="00B751B4" w:rsidP="00456072"/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  <w:lang w:val="en-US"/>
              </w:rPr>
            </w:pPr>
            <w:r w:rsidRPr="00B751B4">
              <w:rPr>
                <w:sz w:val="22"/>
                <w:szCs w:val="22"/>
                <w:lang w:val="en-US"/>
              </w:rPr>
              <w:t>0104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  <w:lang w:val="en-US"/>
              </w:rPr>
              <w:t>33</w:t>
            </w:r>
            <w:r w:rsidRPr="00B751B4">
              <w:rPr>
                <w:sz w:val="22"/>
                <w:szCs w:val="22"/>
              </w:rPr>
              <w:t>А 0114</w:t>
            </w:r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212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24,8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402CA7" w:rsidRDefault="00B751B4" w:rsidP="00456072"/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0104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  <w:lang w:val="en-US"/>
              </w:rPr>
            </w:pPr>
            <w:r w:rsidRPr="00B751B4">
              <w:rPr>
                <w:sz w:val="22"/>
                <w:szCs w:val="22"/>
                <w:lang w:val="en-US"/>
              </w:rPr>
              <w:t>33</w:t>
            </w:r>
            <w:r w:rsidRPr="00B751B4">
              <w:rPr>
                <w:sz w:val="22"/>
                <w:szCs w:val="22"/>
              </w:rPr>
              <w:t>А 0114</w:t>
            </w:r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-24,8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402CA7" w:rsidRDefault="00B751B4" w:rsidP="00456072"/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1202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 xml:space="preserve">451 00 </w:t>
            </w:r>
            <w:proofErr w:type="spellStart"/>
            <w:r w:rsidRPr="00B751B4"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-</w:t>
            </w:r>
            <w:r w:rsidRPr="00B751B4">
              <w:rPr>
                <w:sz w:val="22"/>
                <w:szCs w:val="22"/>
                <w:lang w:val="en-US"/>
              </w:rPr>
              <w:t>45</w:t>
            </w:r>
            <w:r w:rsidRPr="00B751B4">
              <w:rPr>
                <w:sz w:val="22"/>
                <w:szCs w:val="22"/>
              </w:rPr>
              <w:t>,6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402CA7" w:rsidRDefault="00B751B4" w:rsidP="00456072"/>
        </w:tc>
        <w:tc>
          <w:tcPr>
            <w:tcW w:w="1275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0113</w:t>
            </w:r>
          </w:p>
        </w:tc>
        <w:tc>
          <w:tcPr>
            <w:tcW w:w="1560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 xml:space="preserve">092 00 </w:t>
            </w:r>
            <w:proofErr w:type="spellStart"/>
            <w:r w:rsidRPr="00B751B4"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1417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  <w:lang w:val="en-US"/>
              </w:rPr>
            </w:pPr>
            <w:r w:rsidRPr="00B751B4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</w:tcPr>
          <w:p w:rsidR="00B751B4" w:rsidRPr="00B751B4" w:rsidRDefault="00B751B4" w:rsidP="00456072">
            <w:pPr>
              <w:jc w:val="right"/>
              <w:rPr>
                <w:sz w:val="22"/>
                <w:szCs w:val="22"/>
              </w:rPr>
            </w:pPr>
            <w:r w:rsidRPr="00B751B4">
              <w:rPr>
                <w:sz w:val="22"/>
                <w:szCs w:val="22"/>
              </w:rPr>
              <w:t>45,6</w:t>
            </w:r>
          </w:p>
        </w:tc>
      </w:tr>
      <w:tr w:rsidR="00B751B4" w:rsidRPr="003D322C" w:rsidTr="00456072">
        <w:tc>
          <w:tcPr>
            <w:tcW w:w="3261" w:type="dxa"/>
          </w:tcPr>
          <w:p w:rsidR="00B751B4" w:rsidRPr="003D322C" w:rsidRDefault="00B751B4" w:rsidP="00456072">
            <w:pPr>
              <w:rPr>
                <w:sz w:val="28"/>
                <w:szCs w:val="28"/>
              </w:rPr>
            </w:pPr>
            <w:r w:rsidRPr="003D322C">
              <w:rPr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B751B4" w:rsidRPr="003D322C" w:rsidRDefault="00B751B4" w:rsidP="0045607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751B4" w:rsidRPr="003D322C" w:rsidRDefault="00B751B4" w:rsidP="0045607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751B4" w:rsidRPr="003D322C" w:rsidRDefault="00B751B4" w:rsidP="0045607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751B4" w:rsidRPr="003D322C" w:rsidRDefault="00B751B4" w:rsidP="00456072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B751B4" w:rsidRPr="003D322C" w:rsidRDefault="00B751B4" w:rsidP="004560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B751B4" w:rsidRPr="00B751B4" w:rsidRDefault="00B751B4" w:rsidP="00B751B4"/>
    <w:sectPr w:rsidR="00B751B4" w:rsidRPr="00B751B4" w:rsidSect="00B751B4">
      <w:pgSz w:w="11906" w:h="16838"/>
      <w:pgMar w:top="1135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1544"/>
    <w:multiLevelType w:val="hybridMultilevel"/>
    <w:tmpl w:val="015A17D4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475F"/>
    <w:rsid w:val="0007448D"/>
    <w:rsid w:val="00101CF0"/>
    <w:rsid w:val="001A4BCC"/>
    <w:rsid w:val="00311B69"/>
    <w:rsid w:val="003552ED"/>
    <w:rsid w:val="0038475F"/>
    <w:rsid w:val="003F7EA1"/>
    <w:rsid w:val="005C5843"/>
    <w:rsid w:val="005F0478"/>
    <w:rsid w:val="00600FF5"/>
    <w:rsid w:val="006123A9"/>
    <w:rsid w:val="006B67EB"/>
    <w:rsid w:val="007B395D"/>
    <w:rsid w:val="008875E3"/>
    <w:rsid w:val="00974B39"/>
    <w:rsid w:val="009D4904"/>
    <w:rsid w:val="00A65071"/>
    <w:rsid w:val="00AB2896"/>
    <w:rsid w:val="00B751B4"/>
    <w:rsid w:val="00CA17C4"/>
    <w:rsid w:val="00F11977"/>
    <w:rsid w:val="00F1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5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75F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7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38475F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caption"/>
    <w:basedOn w:val="a"/>
    <w:qFormat/>
    <w:rsid w:val="0038475F"/>
    <w:pPr>
      <w:jc w:val="center"/>
    </w:pPr>
    <w:rPr>
      <w:b/>
      <w:sz w:val="28"/>
    </w:rPr>
  </w:style>
  <w:style w:type="paragraph" w:styleId="a4">
    <w:name w:val="Subtitle"/>
    <w:basedOn w:val="a"/>
    <w:link w:val="a5"/>
    <w:qFormat/>
    <w:rsid w:val="0038475F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3847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cp:lastPrinted>2012-10-17T08:07:00Z</cp:lastPrinted>
  <dcterms:created xsi:type="dcterms:W3CDTF">2012-10-18T09:03:00Z</dcterms:created>
  <dcterms:modified xsi:type="dcterms:W3CDTF">2012-10-18T09:03:00Z</dcterms:modified>
</cp:coreProperties>
</file>